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line="360" w:lineRule="auto"/>
        <w:ind w:left="0"/>
        <w:jc w:val="center"/>
        <w:rPr>
          <w:rFonts w:asciiTheme="minorEastAsia" w:hAnsiTheme="minorEastAsia"/>
          <w:b/>
          <w:sz w:val="32"/>
          <w:szCs w:val="32"/>
        </w:rPr>
      </w:pPr>
      <w:r>
        <w:rPr>
          <w:rFonts w:hint="eastAsia" w:asciiTheme="minorEastAsia" w:hAnsiTheme="minorEastAsia"/>
          <w:b/>
          <w:sz w:val="32"/>
          <w:szCs w:val="32"/>
        </w:rPr>
        <w:t>锅炉房供暖系统维修服务项目询价文件</w:t>
      </w:r>
    </w:p>
    <w:p>
      <w:pPr>
        <w:numPr>
          <w:ilvl w:val="0"/>
          <w:numId w:val="1"/>
        </w:numPr>
        <w:spacing w:line="360" w:lineRule="auto"/>
        <w:ind w:left="0"/>
        <w:jc w:val="left"/>
        <w:rPr>
          <w:rFonts w:hint="eastAsia"/>
          <w:sz w:val="28"/>
          <w:szCs w:val="28"/>
        </w:rPr>
      </w:pPr>
      <w:r>
        <w:rPr>
          <w:rFonts w:hint="eastAsia"/>
          <w:b/>
          <w:bCs/>
          <w:sz w:val="28"/>
          <w:szCs w:val="28"/>
        </w:rPr>
        <w:t>项目名称</w:t>
      </w:r>
      <w:r>
        <w:rPr>
          <w:rFonts w:hint="eastAsia"/>
          <w:b/>
          <w:bCs/>
          <w:sz w:val="28"/>
          <w:szCs w:val="28"/>
          <w:lang w:val="en-US" w:eastAsia="zh-CN"/>
        </w:rPr>
        <w:t xml:space="preserve"> </w:t>
      </w:r>
      <w:r>
        <w:rPr>
          <w:rFonts w:hint="eastAsia"/>
          <w:sz w:val="28"/>
          <w:szCs w:val="28"/>
        </w:rPr>
        <w:t>河北水利电力学院</w:t>
      </w:r>
      <w:r>
        <w:rPr>
          <w:rFonts w:hint="eastAsia" w:ascii="宋体" w:hAnsi="宋体"/>
          <w:sz w:val="28"/>
          <w:szCs w:val="28"/>
        </w:rPr>
        <w:t>锅炉房供</w:t>
      </w:r>
      <w:r>
        <w:rPr>
          <w:rFonts w:hint="eastAsia"/>
          <w:sz w:val="28"/>
          <w:szCs w:val="28"/>
        </w:rPr>
        <w:t>暖系统维修服务项目</w:t>
      </w:r>
    </w:p>
    <w:p>
      <w:pPr>
        <w:numPr>
          <w:ilvl w:val="0"/>
          <w:numId w:val="1"/>
        </w:numPr>
        <w:spacing w:line="360" w:lineRule="auto"/>
        <w:ind w:left="0"/>
        <w:jc w:val="both"/>
        <w:rPr>
          <w:sz w:val="28"/>
          <w:szCs w:val="28"/>
        </w:rPr>
      </w:pPr>
      <w:r>
        <w:rPr>
          <w:rFonts w:hint="eastAsia"/>
          <w:b/>
          <w:bCs/>
          <w:sz w:val="28"/>
          <w:szCs w:val="28"/>
        </w:rPr>
        <w:t>项目最高限价</w:t>
      </w:r>
      <w:r>
        <w:rPr>
          <w:rFonts w:hint="eastAsia"/>
          <w:b/>
          <w:bCs/>
          <w:sz w:val="28"/>
          <w:szCs w:val="28"/>
          <w:lang w:val="en-US" w:eastAsia="zh-CN"/>
        </w:rPr>
        <w:t xml:space="preserve"> </w:t>
      </w:r>
      <w:r>
        <w:rPr>
          <w:rFonts w:hint="eastAsia" w:ascii="宋体" w:hAnsi="宋体"/>
          <w:sz w:val="28"/>
          <w:szCs w:val="28"/>
          <w:lang w:eastAsia="zh-CN"/>
        </w:rPr>
        <w:t>玖万伍仟玖佰肆拾元整</w:t>
      </w:r>
      <w:r>
        <w:rPr>
          <w:rFonts w:hint="eastAsia" w:ascii="宋体" w:hAnsi="宋体"/>
          <w:sz w:val="28"/>
          <w:szCs w:val="28"/>
        </w:rPr>
        <w:t>（</w:t>
      </w:r>
      <w:r>
        <w:rPr>
          <w:rFonts w:hint="eastAsia" w:ascii="宋体" w:hAnsi="宋体"/>
          <w:sz w:val="28"/>
          <w:szCs w:val="28"/>
          <w:lang w:eastAsia="zh-CN"/>
        </w:rPr>
        <w:t>95940</w:t>
      </w:r>
      <w:r>
        <w:rPr>
          <w:rFonts w:hint="eastAsia" w:ascii="宋体" w:hAnsi="宋体"/>
          <w:sz w:val="28"/>
          <w:szCs w:val="28"/>
        </w:rPr>
        <w:t>元）</w:t>
      </w:r>
      <w:r>
        <w:rPr>
          <w:rFonts w:hint="eastAsia"/>
          <w:sz w:val="28"/>
          <w:szCs w:val="28"/>
        </w:rPr>
        <w:t>；</w:t>
      </w:r>
    </w:p>
    <w:p>
      <w:pPr>
        <w:pStyle w:val="11"/>
        <w:numPr>
          <w:ilvl w:val="0"/>
          <w:numId w:val="0"/>
        </w:numPr>
        <w:spacing w:line="480" w:lineRule="auto"/>
        <w:ind w:leftChars="0"/>
        <w:jc w:val="left"/>
        <w:rPr>
          <w:rFonts w:hint="default" w:asciiTheme="minorHAnsi" w:hAnsiTheme="minorHAnsi" w:eastAsiaTheme="minorEastAsia" w:cstheme="minorBidi"/>
          <w:b/>
          <w:bCs/>
          <w:kern w:val="2"/>
          <w:sz w:val="28"/>
          <w:szCs w:val="28"/>
          <w:lang w:val="en-US" w:eastAsia="zh-CN" w:bidi="ar-SA"/>
        </w:rPr>
      </w:pPr>
      <w:r>
        <w:rPr>
          <w:rFonts w:hint="eastAsia" w:asciiTheme="minorEastAsia" w:hAnsiTheme="minorEastAsia"/>
          <w:b/>
          <w:sz w:val="24"/>
          <w:szCs w:val="24"/>
          <w:lang w:eastAsia="zh-CN"/>
        </w:rPr>
        <w:t>三、</w:t>
      </w:r>
      <w:r>
        <w:rPr>
          <w:rFonts w:hint="eastAsia" w:asciiTheme="minorHAnsi" w:hAnsiTheme="minorHAnsi" w:eastAsiaTheme="minorEastAsia" w:cstheme="minorBidi"/>
          <w:b/>
          <w:bCs/>
          <w:kern w:val="2"/>
          <w:sz w:val="28"/>
          <w:szCs w:val="28"/>
          <w:lang w:val="en-US" w:eastAsia="zh-CN" w:bidi="ar-SA"/>
        </w:rPr>
        <w:t>项目内容</w:t>
      </w:r>
      <w:r>
        <w:rPr>
          <w:rFonts w:hint="eastAsia" w:cstheme="minorBidi"/>
          <w:b/>
          <w:bCs/>
          <w:kern w:val="2"/>
          <w:sz w:val="28"/>
          <w:szCs w:val="28"/>
          <w:lang w:val="en-US" w:eastAsia="zh-CN" w:bidi="ar-SA"/>
        </w:rPr>
        <w:t xml:space="preserve"> </w:t>
      </w:r>
    </w:p>
    <w:p>
      <w:pPr>
        <w:pStyle w:val="11"/>
        <w:spacing w:line="500" w:lineRule="exact"/>
        <w:ind w:left="0" w:firstLine="56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两台板式换热器出现不同程度的锈蚀穿孔现象，将原板式换热器BR0.87的板片更换155㎡，将原厚度0.5㎜材质304的不锈钢板片更换成厚度0.6㎜316L的不锈钢板片，延长使用寿命，增加使用安全性，保证冬季的稳定运行。</w:t>
      </w:r>
    </w:p>
    <w:p>
      <w:pPr>
        <w:pStyle w:val="11"/>
        <w:spacing w:line="500" w:lineRule="exact"/>
        <w:ind w:left="0" w:firstLine="0" w:firstLineChars="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更换除污器过滤网。</w:t>
      </w:r>
    </w:p>
    <w:p>
      <w:pPr>
        <w:pStyle w:val="11"/>
        <w:spacing w:line="500" w:lineRule="exact"/>
        <w:ind w:left="0" w:firstLine="56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2、对除污器进行拆解、测量，对过滤网进行定制、维修、更换。除污器Φ125的3个，Φ150的2个，Φ200的3个，更换后可保证杂质不再进入板式换热器和水泵等重要设备，避免设备损坏，保证安全运行。</w:t>
      </w:r>
    </w:p>
    <w:p>
      <w:pPr>
        <w:pStyle w:val="11"/>
        <w:spacing w:line="500" w:lineRule="exact"/>
        <w:ind w:left="0" w:firstLine="560"/>
        <w:rPr>
          <w:rFonts w:hint="eastAsia"/>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008"/>
        <w:gridCol w:w="1126"/>
        <w:gridCol w:w="918"/>
        <w:gridCol w:w="79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top"/>
          </w:tcPr>
          <w:p>
            <w:pPr>
              <w:pStyle w:val="11"/>
              <w:spacing w:line="500" w:lineRule="exact"/>
              <w:ind w:left="0" w:firstLine="0" w:firstLineChars="0"/>
              <w:jc w:val="center"/>
              <w:rPr>
                <w:szCs w:val="21"/>
              </w:rPr>
            </w:pPr>
            <w:r>
              <w:rPr>
                <w:rFonts w:hint="eastAsia"/>
                <w:szCs w:val="21"/>
              </w:rPr>
              <w:t>序号</w:t>
            </w:r>
          </w:p>
        </w:tc>
        <w:tc>
          <w:tcPr>
            <w:tcW w:w="1008" w:type="dxa"/>
            <w:noWrap w:val="0"/>
            <w:vAlign w:val="top"/>
          </w:tcPr>
          <w:p>
            <w:pPr>
              <w:pStyle w:val="11"/>
              <w:spacing w:line="500" w:lineRule="exact"/>
              <w:ind w:left="0" w:firstLine="0" w:firstLineChars="0"/>
              <w:jc w:val="center"/>
              <w:rPr>
                <w:szCs w:val="21"/>
              </w:rPr>
            </w:pPr>
            <w:r>
              <w:rPr>
                <w:rFonts w:hint="eastAsia"/>
                <w:szCs w:val="21"/>
              </w:rPr>
              <w:t>名称</w:t>
            </w:r>
          </w:p>
        </w:tc>
        <w:tc>
          <w:tcPr>
            <w:tcW w:w="1126" w:type="dxa"/>
            <w:noWrap w:val="0"/>
            <w:vAlign w:val="top"/>
          </w:tcPr>
          <w:p>
            <w:pPr>
              <w:pStyle w:val="11"/>
              <w:spacing w:line="500" w:lineRule="exact"/>
              <w:ind w:left="0" w:firstLine="0" w:firstLineChars="0"/>
              <w:jc w:val="center"/>
              <w:rPr>
                <w:rFonts w:hint="eastAsia"/>
                <w:szCs w:val="21"/>
              </w:rPr>
            </w:pPr>
            <w:r>
              <w:rPr>
                <w:rFonts w:hint="eastAsia"/>
                <w:szCs w:val="21"/>
              </w:rPr>
              <w:t>规格型号</w:t>
            </w:r>
          </w:p>
        </w:tc>
        <w:tc>
          <w:tcPr>
            <w:tcW w:w="918" w:type="dxa"/>
            <w:noWrap w:val="0"/>
            <w:vAlign w:val="top"/>
          </w:tcPr>
          <w:p>
            <w:pPr>
              <w:pStyle w:val="11"/>
              <w:spacing w:line="500" w:lineRule="exact"/>
              <w:ind w:left="0" w:firstLine="0" w:firstLineChars="0"/>
              <w:jc w:val="center"/>
              <w:rPr>
                <w:szCs w:val="21"/>
              </w:rPr>
            </w:pPr>
            <w:r>
              <w:rPr>
                <w:rFonts w:hint="eastAsia"/>
                <w:szCs w:val="21"/>
              </w:rPr>
              <w:t>数量</w:t>
            </w:r>
          </w:p>
        </w:tc>
        <w:tc>
          <w:tcPr>
            <w:tcW w:w="799" w:type="dxa"/>
            <w:noWrap w:val="0"/>
            <w:vAlign w:val="top"/>
          </w:tcPr>
          <w:p>
            <w:pPr>
              <w:pStyle w:val="11"/>
              <w:spacing w:line="500" w:lineRule="exact"/>
              <w:ind w:left="0" w:firstLine="0" w:firstLineChars="0"/>
              <w:jc w:val="center"/>
              <w:rPr>
                <w:rFonts w:hint="eastAsia"/>
                <w:szCs w:val="21"/>
              </w:rPr>
            </w:pPr>
            <w:r>
              <w:rPr>
                <w:rFonts w:hint="eastAsia"/>
                <w:szCs w:val="21"/>
              </w:rPr>
              <w:t>单位</w:t>
            </w:r>
          </w:p>
        </w:tc>
        <w:tc>
          <w:tcPr>
            <w:tcW w:w="1292" w:type="dxa"/>
            <w:noWrap w:val="0"/>
            <w:vAlign w:val="top"/>
          </w:tcPr>
          <w:p>
            <w:pPr>
              <w:pStyle w:val="11"/>
              <w:spacing w:line="500" w:lineRule="exact"/>
              <w:ind w:left="0" w:firstLine="0" w:firstLineChars="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4" w:type="dxa"/>
            <w:noWrap w:val="0"/>
            <w:vAlign w:val="top"/>
          </w:tcPr>
          <w:p>
            <w:pPr>
              <w:pStyle w:val="11"/>
              <w:spacing w:line="500" w:lineRule="exact"/>
              <w:ind w:left="0" w:firstLine="0" w:firstLineChars="0"/>
              <w:jc w:val="center"/>
              <w:rPr>
                <w:szCs w:val="21"/>
              </w:rPr>
            </w:pPr>
            <w:r>
              <w:rPr>
                <w:rFonts w:hint="eastAsia"/>
                <w:szCs w:val="21"/>
              </w:rPr>
              <w:t>1</w:t>
            </w:r>
          </w:p>
        </w:tc>
        <w:tc>
          <w:tcPr>
            <w:tcW w:w="1008" w:type="dxa"/>
            <w:noWrap w:val="0"/>
            <w:vAlign w:val="top"/>
          </w:tcPr>
          <w:p>
            <w:pPr>
              <w:pStyle w:val="11"/>
              <w:spacing w:line="500" w:lineRule="exact"/>
              <w:ind w:left="0" w:firstLine="0" w:firstLineChars="0"/>
              <w:jc w:val="center"/>
              <w:rPr>
                <w:szCs w:val="21"/>
              </w:rPr>
            </w:pPr>
            <w:r>
              <w:rPr>
                <w:rFonts w:hint="eastAsia"/>
                <w:szCs w:val="21"/>
              </w:rPr>
              <w:t>换热器板片</w:t>
            </w:r>
          </w:p>
        </w:tc>
        <w:tc>
          <w:tcPr>
            <w:tcW w:w="1126" w:type="dxa"/>
            <w:noWrap w:val="0"/>
            <w:vAlign w:val="top"/>
          </w:tcPr>
          <w:p>
            <w:pPr>
              <w:pStyle w:val="11"/>
              <w:spacing w:line="500" w:lineRule="exact"/>
              <w:ind w:left="0" w:firstLine="0" w:firstLineChars="0"/>
              <w:jc w:val="center"/>
              <w:rPr>
                <w:rFonts w:hint="eastAsia"/>
                <w:szCs w:val="21"/>
              </w:rPr>
            </w:pPr>
            <w:r>
              <w:rPr>
                <w:rFonts w:hint="eastAsia"/>
                <w:szCs w:val="21"/>
              </w:rPr>
              <w:t>BR0.87</w:t>
            </w:r>
          </w:p>
        </w:tc>
        <w:tc>
          <w:tcPr>
            <w:tcW w:w="918" w:type="dxa"/>
            <w:noWrap w:val="0"/>
            <w:vAlign w:val="top"/>
          </w:tcPr>
          <w:p>
            <w:pPr>
              <w:pStyle w:val="11"/>
              <w:spacing w:line="500" w:lineRule="exact"/>
              <w:ind w:left="0" w:firstLine="0" w:firstLineChars="0"/>
              <w:jc w:val="center"/>
              <w:rPr>
                <w:szCs w:val="21"/>
              </w:rPr>
            </w:pPr>
            <w:r>
              <w:rPr>
                <w:rFonts w:hint="eastAsia"/>
                <w:szCs w:val="21"/>
              </w:rPr>
              <w:t>155</w:t>
            </w:r>
          </w:p>
        </w:tc>
        <w:tc>
          <w:tcPr>
            <w:tcW w:w="799" w:type="dxa"/>
            <w:noWrap w:val="0"/>
            <w:vAlign w:val="top"/>
          </w:tcPr>
          <w:p>
            <w:pPr>
              <w:pStyle w:val="11"/>
              <w:spacing w:line="500" w:lineRule="exact"/>
              <w:ind w:left="0" w:firstLine="0" w:firstLineChars="0"/>
              <w:jc w:val="center"/>
              <w:rPr>
                <w:szCs w:val="21"/>
              </w:rPr>
            </w:pPr>
            <w:r>
              <w:rPr>
                <w:rFonts w:hint="eastAsia"/>
                <w:szCs w:val="21"/>
              </w:rPr>
              <w:t>㎡</w:t>
            </w:r>
          </w:p>
        </w:tc>
        <w:tc>
          <w:tcPr>
            <w:tcW w:w="1292" w:type="dxa"/>
            <w:noWrap w:val="0"/>
            <w:vAlign w:val="top"/>
          </w:tcPr>
          <w:p>
            <w:pPr>
              <w:pStyle w:val="11"/>
              <w:spacing w:line="500" w:lineRule="exact"/>
              <w:ind w:left="0" w:firstLine="0" w:firstLineChars="0"/>
              <w:jc w:val="center"/>
              <w:rPr>
                <w:rFonts w:hint="eastAsia"/>
                <w:szCs w:val="21"/>
              </w:rPr>
            </w:pPr>
            <w:r>
              <w:rPr>
                <w:rFonts w:hint="eastAsia"/>
                <w:szCs w:val="21"/>
              </w:rPr>
              <w:t>δ=0.6mm</w:t>
            </w:r>
          </w:p>
          <w:p>
            <w:pPr>
              <w:pStyle w:val="11"/>
              <w:spacing w:line="500" w:lineRule="exact"/>
              <w:ind w:left="0" w:firstLine="0" w:firstLineChars="0"/>
              <w:jc w:val="center"/>
              <w:rPr>
                <w:szCs w:val="21"/>
              </w:rPr>
            </w:pPr>
            <w:r>
              <w:rPr>
                <w:rFonts w:hint="eastAsia"/>
                <w:szCs w:val="21"/>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restart"/>
            <w:noWrap w:val="0"/>
            <w:vAlign w:val="top"/>
          </w:tcPr>
          <w:p>
            <w:pPr>
              <w:pStyle w:val="11"/>
              <w:spacing w:line="500" w:lineRule="exact"/>
              <w:ind w:left="0" w:firstLine="0" w:firstLineChars="0"/>
              <w:jc w:val="center"/>
              <w:rPr>
                <w:szCs w:val="21"/>
              </w:rPr>
            </w:pPr>
            <w:r>
              <w:rPr>
                <w:rFonts w:hint="eastAsia"/>
                <w:szCs w:val="21"/>
              </w:rPr>
              <w:t>2</w:t>
            </w:r>
          </w:p>
        </w:tc>
        <w:tc>
          <w:tcPr>
            <w:tcW w:w="1008" w:type="dxa"/>
            <w:vMerge w:val="restart"/>
            <w:noWrap w:val="0"/>
            <w:vAlign w:val="top"/>
          </w:tcPr>
          <w:p>
            <w:pPr>
              <w:pStyle w:val="11"/>
              <w:spacing w:line="500" w:lineRule="exact"/>
              <w:ind w:left="0" w:firstLine="0" w:firstLineChars="0"/>
              <w:jc w:val="center"/>
              <w:rPr>
                <w:szCs w:val="21"/>
              </w:rPr>
            </w:pPr>
            <w:r>
              <w:rPr>
                <w:rFonts w:hint="eastAsia"/>
                <w:szCs w:val="21"/>
              </w:rPr>
              <w:t>除污器过滤网</w:t>
            </w:r>
          </w:p>
        </w:tc>
        <w:tc>
          <w:tcPr>
            <w:tcW w:w="1126" w:type="dxa"/>
            <w:noWrap w:val="0"/>
            <w:vAlign w:val="top"/>
          </w:tcPr>
          <w:p>
            <w:pPr>
              <w:pStyle w:val="11"/>
              <w:spacing w:line="500" w:lineRule="exact"/>
              <w:ind w:left="0" w:firstLine="0" w:firstLineChars="0"/>
              <w:jc w:val="center"/>
              <w:rPr>
                <w:szCs w:val="21"/>
              </w:rPr>
            </w:pPr>
            <w:r>
              <w:rPr>
                <w:rFonts w:hint="eastAsia"/>
                <w:szCs w:val="21"/>
              </w:rPr>
              <w:t>Φ125</w:t>
            </w:r>
          </w:p>
        </w:tc>
        <w:tc>
          <w:tcPr>
            <w:tcW w:w="918" w:type="dxa"/>
            <w:noWrap w:val="0"/>
            <w:vAlign w:val="top"/>
          </w:tcPr>
          <w:p>
            <w:pPr>
              <w:pStyle w:val="11"/>
              <w:spacing w:line="500" w:lineRule="exact"/>
              <w:ind w:left="0" w:firstLine="0" w:firstLineChars="0"/>
              <w:jc w:val="center"/>
              <w:rPr>
                <w:szCs w:val="21"/>
              </w:rPr>
            </w:pPr>
            <w:r>
              <w:rPr>
                <w:rFonts w:hint="eastAsia"/>
                <w:szCs w:val="21"/>
              </w:rPr>
              <w:t>3</w:t>
            </w:r>
          </w:p>
        </w:tc>
        <w:tc>
          <w:tcPr>
            <w:tcW w:w="799" w:type="dxa"/>
            <w:noWrap w:val="0"/>
            <w:vAlign w:val="top"/>
          </w:tcPr>
          <w:p>
            <w:pPr>
              <w:pStyle w:val="11"/>
              <w:spacing w:line="500" w:lineRule="exact"/>
              <w:ind w:left="0" w:firstLine="0" w:firstLineChars="0"/>
              <w:jc w:val="center"/>
              <w:rPr>
                <w:szCs w:val="21"/>
              </w:rPr>
            </w:pPr>
            <w:r>
              <w:rPr>
                <w:rFonts w:hint="eastAsia"/>
                <w:szCs w:val="21"/>
              </w:rPr>
              <w:t>个</w:t>
            </w:r>
          </w:p>
        </w:tc>
        <w:tc>
          <w:tcPr>
            <w:tcW w:w="1292" w:type="dxa"/>
            <w:vMerge w:val="restart"/>
            <w:noWrap w:val="0"/>
            <w:vAlign w:val="top"/>
          </w:tcPr>
          <w:p>
            <w:pPr>
              <w:pStyle w:val="11"/>
              <w:spacing w:line="500" w:lineRule="exact"/>
              <w:ind w:left="0" w:firstLine="0" w:firstLineChars="0"/>
              <w:jc w:val="center"/>
              <w:rPr>
                <w:szCs w:val="21"/>
              </w:rPr>
            </w:pPr>
            <w:r>
              <w:rPr>
                <w:rFonts w:hint="eastAsia"/>
                <w:szCs w:val="21"/>
              </w:rPr>
              <w:t>孔径4mm，材质316L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continue"/>
            <w:noWrap w:val="0"/>
            <w:vAlign w:val="top"/>
          </w:tcPr>
          <w:p>
            <w:pPr>
              <w:pStyle w:val="11"/>
              <w:spacing w:line="500" w:lineRule="exact"/>
              <w:ind w:left="0" w:firstLine="0" w:firstLineChars="0"/>
              <w:jc w:val="center"/>
              <w:rPr>
                <w:szCs w:val="21"/>
              </w:rPr>
            </w:pPr>
          </w:p>
        </w:tc>
        <w:tc>
          <w:tcPr>
            <w:tcW w:w="1008" w:type="dxa"/>
            <w:vMerge w:val="continue"/>
            <w:noWrap w:val="0"/>
            <w:vAlign w:val="top"/>
          </w:tcPr>
          <w:p>
            <w:pPr>
              <w:pStyle w:val="11"/>
              <w:spacing w:line="500" w:lineRule="exact"/>
              <w:ind w:left="0" w:firstLine="0" w:firstLineChars="0"/>
              <w:rPr>
                <w:szCs w:val="21"/>
              </w:rPr>
            </w:pPr>
          </w:p>
        </w:tc>
        <w:tc>
          <w:tcPr>
            <w:tcW w:w="1126" w:type="dxa"/>
            <w:noWrap w:val="0"/>
            <w:vAlign w:val="top"/>
          </w:tcPr>
          <w:p>
            <w:pPr>
              <w:pStyle w:val="11"/>
              <w:spacing w:line="500" w:lineRule="exact"/>
              <w:ind w:left="0" w:firstLine="0" w:firstLineChars="0"/>
              <w:jc w:val="center"/>
              <w:rPr>
                <w:szCs w:val="21"/>
              </w:rPr>
            </w:pPr>
            <w:r>
              <w:rPr>
                <w:rFonts w:hint="eastAsia"/>
                <w:szCs w:val="21"/>
              </w:rPr>
              <w:t>Φ150</w:t>
            </w:r>
          </w:p>
        </w:tc>
        <w:tc>
          <w:tcPr>
            <w:tcW w:w="918" w:type="dxa"/>
            <w:noWrap w:val="0"/>
            <w:vAlign w:val="top"/>
          </w:tcPr>
          <w:p>
            <w:pPr>
              <w:pStyle w:val="11"/>
              <w:spacing w:line="500" w:lineRule="exact"/>
              <w:ind w:left="0" w:firstLine="0" w:firstLineChars="0"/>
              <w:jc w:val="center"/>
              <w:rPr>
                <w:szCs w:val="21"/>
              </w:rPr>
            </w:pPr>
            <w:r>
              <w:rPr>
                <w:rFonts w:hint="eastAsia"/>
                <w:szCs w:val="21"/>
              </w:rPr>
              <w:t>2</w:t>
            </w:r>
          </w:p>
        </w:tc>
        <w:tc>
          <w:tcPr>
            <w:tcW w:w="799" w:type="dxa"/>
            <w:noWrap w:val="0"/>
            <w:vAlign w:val="top"/>
          </w:tcPr>
          <w:p>
            <w:pPr>
              <w:pStyle w:val="11"/>
              <w:spacing w:line="500" w:lineRule="exact"/>
              <w:ind w:left="0" w:firstLine="0" w:firstLineChars="0"/>
              <w:jc w:val="center"/>
              <w:rPr>
                <w:szCs w:val="21"/>
              </w:rPr>
            </w:pPr>
            <w:r>
              <w:rPr>
                <w:rFonts w:hint="eastAsia"/>
                <w:szCs w:val="21"/>
              </w:rPr>
              <w:t>个</w:t>
            </w:r>
          </w:p>
        </w:tc>
        <w:tc>
          <w:tcPr>
            <w:tcW w:w="1292" w:type="dxa"/>
            <w:vMerge w:val="continue"/>
            <w:noWrap w:val="0"/>
            <w:vAlign w:val="top"/>
          </w:tcPr>
          <w:p>
            <w:pPr>
              <w:pStyle w:val="11"/>
              <w:spacing w:line="500" w:lineRule="exact"/>
              <w:ind w:left="0"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continue"/>
            <w:noWrap w:val="0"/>
            <w:vAlign w:val="top"/>
          </w:tcPr>
          <w:p>
            <w:pPr>
              <w:pStyle w:val="11"/>
              <w:spacing w:line="500" w:lineRule="exact"/>
              <w:ind w:left="0" w:firstLine="0" w:firstLineChars="0"/>
              <w:jc w:val="center"/>
              <w:rPr>
                <w:szCs w:val="21"/>
              </w:rPr>
            </w:pPr>
          </w:p>
        </w:tc>
        <w:tc>
          <w:tcPr>
            <w:tcW w:w="1008" w:type="dxa"/>
            <w:vMerge w:val="continue"/>
            <w:noWrap w:val="0"/>
            <w:vAlign w:val="top"/>
          </w:tcPr>
          <w:p>
            <w:pPr>
              <w:pStyle w:val="11"/>
              <w:spacing w:line="500" w:lineRule="exact"/>
              <w:ind w:left="0" w:firstLine="0" w:firstLineChars="0"/>
              <w:rPr>
                <w:szCs w:val="21"/>
              </w:rPr>
            </w:pPr>
          </w:p>
        </w:tc>
        <w:tc>
          <w:tcPr>
            <w:tcW w:w="1126" w:type="dxa"/>
            <w:noWrap w:val="0"/>
            <w:vAlign w:val="top"/>
          </w:tcPr>
          <w:p>
            <w:pPr>
              <w:pStyle w:val="11"/>
              <w:spacing w:line="500" w:lineRule="exact"/>
              <w:ind w:left="0" w:firstLine="0" w:firstLineChars="0"/>
              <w:jc w:val="center"/>
              <w:rPr>
                <w:szCs w:val="21"/>
              </w:rPr>
            </w:pPr>
            <w:r>
              <w:rPr>
                <w:rFonts w:hint="eastAsia"/>
                <w:szCs w:val="21"/>
              </w:rPr>
              <w:t>Φ200</w:t>
            </w:r>
          </w:p>
        </w:tc>
        <w:tc>
          <w:tcPr>
            <w:tcW w:w="918" w:type="dxa"/>
            <w:noWrap w:val="0"/>
            <w:vAlign w:val="top"/>
          </w:tcPr>
          <w:p>
            <w:pPr>
              <w:pStyle w:val="11"/>
              <w:spacing w:line="500" w:lineRule="exact"/>
              <w:ind w:left="0" w:firstLine="0" w:firstLineChars="0"/>
              <w:jc w:val="center"/>
              <w:rPr>
                <w:szCs w:val="21"/>
              </w:rPr>
            </w:pPr>
            <w:r>
              <w:rPr>
                <w:rFonts w:hint="eastAsia"/>
                <w:szCs w:val="21"/>
              </w:rPr>
              <w:t>3</w:t>
            </w:r>
          </w:p>
        </w:tc>
        <w:tc>
          <w:tcPr>
            <w:tcW w:w="799" w:type="dxa"/>
            <w:noWrap w:val="0"/>
            <w:vAlign w:val="top"/>
          </w:tcPr>
          <w:p>
            <w:pPr>
              <w:pStyle w:val="11"/>
              <w:spacing w:line="500" w:lineRule="exact"/>
              <w:ind w:left="0" w:firstLine="0" w:firstLineChars="0"/>
              <w:jc w:val="center"/>
              <w:rPr>
                <w:szCs w:val="21"/>
              </w:rPr>
            </w:pPr>
            <w:r>
              <w:rPr>
                <w:rFonts w:hint="eastAsia"/>
                <w:szCs w:val="21"/>
              </w:rPr>
              <w:t>个</w:t>
            </w:r>
          </w:p>
        </w:tc>
        <w:tc>
          <w:tcPr>
            <w:tcW w:w="1292" w:type="dxa"/>
            <w:vMerge w:val="continue"/>
            <w:noWrap w:val="0"/>
            <w:vAlign w:val="top"/>
          </w:tcPr>
          <w:p>
            <w:pPr>
              <w:pStyle w:val="11"/>
              <w:spacing w:line="500" w:lineRule="exact"/>
              <w:ind w:left="0" w:firstLine="0" w:firstLineChars="0"/>
              <w:rPr>
                <w:szCs w:val="21"/>
              </w:rPr>
            </w:pPr>
          </w:p>
        </w:tc>
      </w:tr>
    </w:tbl>
    <w:p>
      <w:pPr>
        <w:pStyle w:val="11"/>
        <w:numPr>
          <w:ilvl w:val="0"/>
          <w:numId w:val="0"/>
        </w:numPr>
        <w:spacing w:line="480" w:lineRule="auto"/>
        <w:ind w:leftChars="0"/>
        <w:jc w:val="left"/>
        <w:rPr>
          <w:rFonts w:hint="eastAsia" w:asciiTheme="minorHAnsi" w:hAnsiTheme="minorHAnsi" w:eastAsiaTheme="minorEastAsia" w:cstheme="minorBidi"/>
          <w:b/>
          <w:bCs/>
          <w:kern w:val="2"/>
          <w:sz w:val="28"/>
          <w:szCs w:val="28"/>
          <w:lang w:val="en-US" w:eastAsia="zh-CN" w:bidi="ar-SA"/>
        </w:rPr>
      </w:pPr>
      <w:r>
        <w:rPr>
          <w:rFonts w:hint="eastAsia" w:asciiTheme="minorEastAsia" w:hAnsiTheme="minorEastAsia"/>
          <w:b/>
          <w:sz w:val="24"/>
          <w:szCs w:val="24"/>
          <w:lang w:eastAsia="zh-CN"/>
        </w:rPr>
        <w:t>四、</w:t>
      </w:r>
      <w:r>
        <w:rPr>
          <w:rFonts w:hint="eastAsia" w:asciiTheme="minorHAnsi" w:hAnsiTheme="minorHAnsi" w:eastAsiaTheme="minorEastAsia" w:cstheme="minorBidi"/>
          <w:b/>
          <w:bCs/>
          <w:kern w:val="2"/>
          <w:sz w:val="28"/>
          <w:szCs w:val="28"/>
          <w:lang w:val="en-US" w:eastAsia="zh-CN" w:bidi="ar-SA"/>
        </w:rPr>
        <w:t>技术要求</w:t>
      </w:r>
    </w:p>
    <w:p>
      <w:pPr>
        <w:pStyle w:val="11"/>
        <w:spacing w:line="500" w:lineRule="exact"/>
        <w:ind w:left="0" w:firstLine="56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板片要求：学校原有两台型号BR0.87M，法兰DN200，设计压力1.6Mpa，耐温150℃，单台面积155㎡的板式换热器，对155㎡板片进行维修更换，更换成厚度0.6mm，材质316L不锈钢，含三元乙丙胶垫（耐温-50-150℃），热进热出和冷进冷出法兰中心距为1494mm，冷出热进和冷进热出法兰中心距为340mm，与原换热器可相互替换的板片，并进行更换施工，更换后进行2.1MPa耐压试验，保修两个采暖季；</w:t>
      </w:r>
    </w:p>
    <w:p>
      <w:pPr>
        <w:pStyle w:val="11"/>
        <w:spacing w:line="500" w:lineRule="exact"/>
        <w:ind w:left="0" w:firstLine="560"/>
        <w:rPr>
          <w:rFonts w:hint="eastAsia" w:asciiTheme="minorEastAsia" w:hAnsiTheme="minorEastAsia"/>
          <w:sz w:val="28"/>
          <w:szCs w:val="28"/>
          <w:lang w:eastAsia="zh-CN"/>
        </w:rPr>
      </w:pPr>
      <w:r>
        <w:rPr>
          <w:rFonts w:hint="eastAsia" w:asciiTheme="minorEastAsia" w:hAnsiTheme="minorEastAsia" w:eastAsiaTheme="minorEastAsia" w:cstheme="minorBidi"/>
          <w:kern w:val="2"/>
          <w:sz w:val="24"/>
          <w:szCs w:val="24"/>
          <w:lang w:val="en-US" w:eastAsia="zh-CN" w:bidi="ar-SA"/>
        </w:rPr>
        <w:t>2、除污器过滤网要求：对原除污器过滤网进行更换，拆解原除污器测量过滤网尺寸，定制Φ125的3个，Φ150的2个，Φ200的3个的除污器过滤网，要求孔径不大于4mm，使用316L、厚度不低于2mm的不锈钢，进行更换，更换后应符合原管道流量要求及耐压要求。设计使用压力1.6Mpa。</w:t>
      </w:r>
    </w:p>
    <w:p>
      <w:pPr>
        <w:rPr>
          <w:rFonts w:asciiTheme="minorEastAsia" w:hAnsiTheme="minorEastAsia"/>
          <w:sz w:val="24"/>
          <w:szCs w:val="24"/>
        </w:rPr>
      </w:pPr>
      <w:r>
        <w:rPr>
          <w:rFonts w:hint="eastAsia" w:asciiTheme="minorEastAsia" w:hAnsiTheme="minorEastAsia"/>
          <w:sz w:val="28"/>
          <w:szCs w:val="28"/>
          <w:lang w:eastAsia="zh-CN"/>
        </w:rPr>
        <w:t>五、</w:t>
      </w:r>
      <w:r>
        <w:rPr>
          <w:rFonts w:hint="eastAsia" w:asciiTheme="minorEastAsia" w:hAnsiTheme="minorEastAsia"/>
          <w:sz w:val="28"/>
          <w:szCs w:val="28"/>
        </w:rPr>
        <w:t xml:space="preserve"> </w:t>
      </w:r>
      <w:r>
        <w:rPr>
          <w:rFonts w:hint="eastAsia" w:asciiTheme="minorEastAsia" w:hAnsiTheme="minorEastAsia"/>
          <w:b/>
          <w:sz w:val="24"/>
          <w:szCs w:val="24"/>
        </w:rPr>
        <w:t>商务要求</w:t>
      </w:r>
    </w:p>
    <w:p>
      <w:pPr>
        <w:pStyle w:val="11"/>
        <w:spacing w:line="360" w:lineRule="auto"/>
        <w:ind w:firstLine="0" w:firstLineChars="0"/>
        <w:jc w:val="left"/>
        <w:rPr>
          <w:sz w:val="24"/>
          <w:szCs w:val="24"/>
        </w:rPr>
      </w:pPr>
      <w:r>
        <w:rPr>
          <w:sz w:val="24"/>
          <w:szCs w:val="24"/>
        </w:rPr>
        <w:t>1.投标人须符合《中华人民共和国政府采购法》第二十二条规定条件：</w:t>
      </w:r>
      <w:r>
        <w:rPr>
          <w:sz w:val="24"/>
          <w:szCs w:val="24"/>
        </w:rPr>
        <w:br w:type="textWrapping"/>
      </w:r>
      <w:r>
        <w:rPr>
          <w:sz w:val="24"/>
          <w:szCs w:val="24"/>
        </w:rPr>
        <w:t>（1）具有独立承担民事责任的能力；</w:t>
      </w:r>
    </w:p>
    <w:p>
      <w:pPr>
        <w:pStyle w:val="11"/>
        <w:spacing w:line="360" w:lineRule="auto"/>
        <w:ind w:firstLine="0" w:firstLineChars="0"/>
        <w:jc w:val="left"/>
        <w:rPr>
          <w:sz w:val="24"/>
          <w:szCs w:val="24"/>
        </w:rPr>
      </w:pPr>
      <w:r>
        <w:rPr>
          <w:rFonts w:hint="eastAsia"/>
          <w:sz w:val="24"/>
          <w:szCs w:val="24"/>
        </w:rPr>
        <w:t>（2）</w:t>
      </w:r>
      <w:r>
        <w:rPr>
          <w:sz w:val="24"/>
          <w:szCs w:val="24"/>
        </w:rPr>
        <w:t>具有履行合同所必需的设备和专业技术能力；</w:t>
      </w:r>
    </w:p>
    <w:p>
      <w:pPr>
        <w:pStyle w:val="11"/>
        <w:spacing w:line="360" w:lineRule="auto"/>
        <w:ind w:firstLine="0" w:firstLineChars="0"/>
        <w:jc w:val="left"/>
        <w:rPr>
          <w:sz w:val="24"/>
          <w:szCs w:val="24"/>
        </w:rPr>
      </w:pPr>
      <w:r>
        <w:rPr>
          <w:rFonts w:hint="eastAsia"/>
          <w:sz w:val="24"/>
          <w:szCs w:val="24"/>
        </w:rPr>
        <w:t>（3）</w:t>
      </w:r>
      <w:r>
        <w:rPr>
          <w:sz w:val="24"/>
          <w:szCs w:val="24"/>
        </w:rPr>
        <w:t>法律、行政法规规定的其他条件。</w:t>
      </w:r>
    </w:p>
    <w:p>
      <w:pPr>
        <w:pStyle w:val="11"/>
        <w:spacing w:line="360" w:lineRule="auto"/>
        <w:ind w:firstLine="0" w:firstLineChars="0"/>
        <w:jc w:val="left"/>
        <w:rPr>
          <w:sz w:val="24"/>
          <w:szCs w:val="24"/>
        </w:rPr>
      </w:pPr>
      <w:r>
        <w:rPr>
          <w:rFonts w:hint="eastAsia"/>
          <w:sz w:val="24"/>
          <w:szCs w:val="24"/>
        </w:rPr>
        <w:t>（4）</w:t>
      </w:r>
      <w:r>
        <w:rPr>
          <w:sz w:val="24"/>
          <w:szCs w:val="24"/>
        </w:rPr>
        <w:t>经营范围及拟投标服务符合本次招标要求，具有</w:t>
      </w:r>
      <w:r>
        <w:rPr>
          <w:rFonts w:hint="eastAsia"/>
          <w:sz w:val="24"/>
          <w:szCs w:val="24"/>
        </w:rPr>
        <w:t>完成该项目的能力</w:t>
      </w:r>
      <w:r>
        <w:rPr>
          <w:sz w:val="24"/>
          <w:szCs w:val="24"/>
        </w:rPr>
        <w:t>，且具有较强的服务能力</w:t>
      </w:r>
      <w:r>
        <w:rPr>
          <w:rFonts w:hint="eastAsia"/>
          <w:sz w:val="24"/>
          <w:szCs w:val="24"/>
        </w:rPr>
        <w:t>。</w:t>
      </w:r>
    </w:p>
    <w:p>
      <w:pPr>
        <w:pStyle w:val="11"/>
        <w:spacing w:line="360" w:lineRule="auto"/>
        <w:ind w:firstLine="0" w:firstLineChars="0"/>
        <w:jc w:val="left"/>
        <w:rPr>
          <w:sz w:val="24"/>
          <w:szCs w:val="24"/>
        </w:rPr>
      </w:pPr>
      <w:r>
        <w:rPr>
          <w:rFonts w:hint="eastAsia"/>
          <w:sz w:val="24"/>
          <w:szCs w:val="24"/>
        </w:rPr>
        <w:t>（5）</w:t>
      </w:r>
      <w:r>
        <w:rPr>
          <w:sz w:val="24"/>
          <w:szCs w:val="24"/>
        </w:rPr>
        <w:t>本项目不接受联合体投标。</w:t>
      </w:r>
    </w:p>
    <w:p>
      <w:pPr>
        <w:spacing w:line="480" w:lineRule="auto"/>
        <w:jc w:val="left"/>
        <w:rPr>
          <w:rFonts w:asciiTheme="minorEastAsia" w:hAnsiTheme="minorEastAsia"/>
          <w:b/>
          <w:sz w:val="24"/>
          <w:szCs w:val="24"/>
        </w:rPr>
      </w:pPr>
      <w:r>
        <w:rPr>
          <w:rFonts w:hint="eastAsia" w:asciiTheme="minorEastAsia" w:hAnsiTheme="minorEastAsia"/>
          <w:b/>
          <w:sz w:val="24"/>
          <w:szCs w:val="24"/>
          <w:lang w:eastAsia="zh-CN"/>
        </w:rPr>
        <w:t>六、</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现场提交。</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w:t>
      </w:r>
      <w:bookmarkStart w:id="0" w:name="_GoBack"/>
      <w:bookmarkEnd w:id="0"/>
      <w:r>
        <w:rPr>
          <w:rFonts w:hint="eastAsia" w:asciiTheme="minorEastAsia" w:hAnsiTheme="minorEastAsia"/>
          <w:b/>
          <w:sz w:val="24"/>
          <w:szCs w:val="24"/>
        </w:rPr>
        <w:t>式要求</w:t>
      </w:r>
    </w:p>
    <w:p>
      <w:pPr>
        <w:spacing w:line="480" w:lineRule="auto"/>
        <w:jc w:val="left"/>
        <w:rPr>
          <w:rFonts w:asciiTheme="minorEastAsia" w:hAnsiTheme="minorEastAsia"/>
          <w:sz w:val="24"/>
          <w:szCs w:val="24"/>
        </w:rPr>
      </w:pPr>
    </w:p>
    <w:p>
      <w:pPr>
        <w:spacing w:line="480" w:lineRule="auto"/>
        <w:jc w:val="left"/>
        <w:rPr>
          <w:rFonts w:asciiTheme="minorEastAsia" w:hAnsiTheme="minorEastAsia"/>
          <w:b/>
          <w:sz w:val="24"/>
          <w:szCs w:val="24"/>
        </w:rPr>
      </w:pPr>
    </w:p>
    <w:p>
      <w:pPr>
        <w:spacing w:line="480" w:lineRule="auto"/>
        <w:jc w:val="left"/>
        <w:rPr>
          <w:rFonts w:asciiTheme="minorEastAsia" w:hAnsiTheme="minorEastAsia"/>
          <w:b/>
          <w:sz w:val="24"/>
          <w:szCs w:val="24"/>
        </w:rPr>
      </w:pPr>
    </w:p>
    <w:p>
      <w:pPr>
        <w:spacing w:line="480" w:lineRule="auto"/>
        <w:jc w:val="left"/>
        <w:rPr>
          <w:rFonts w:asciiTheme="minorEastAsia" w:hAnsiTheme="minorEastAsia"/>
          <w:b/>
          <w:sz w:val="24"/>
          <w:szCs w:val="24"/>
        </w:rPr>
      </w:pPr>
    </w:p>
    <w:p>
      <w:pPr>
        <w:spacing w:line="480" w:lineRule="auto"/>
        <w:jc w:val="left"/>
        <w:rPr>
          <w:rFonts w:asciiTheme="minorEastAsia" w:hAnsiTheme="minorEastAsia"/>
          <w:b/>
          <w:sz w:val="24"/>
          <w:szCs w:val="24"/>
        </w:rPr>
      </w:pPr>
    </w:p>
    <w:p>
      <w:pPr>
        <w:spacing w:line="480" w:lineRule="auto"/>
        <w:jc w:val="left"/>
        <w:rPr>
          <w:rFonts w:asciiTheme="minorEastAsia" w:hAnsiTheme="minorEastAsia"/>
          <w:b/>
          <w:sz w:val="24"/>
          <w:szCs w:val="24"/>
        </w:rPr>
      </w:pPr>
    </w:p>
    <w:p>
      <w:pPr>
        <w:spacing w:line="480" w:lineRule="auto"/>
        <w:jc w:val="left"/>
        <w:rPr>
          <w:rFonts w:asciiTheme="minorEastAsia" w:hAnsiTheme="minorEastAsia"/>
          <w:b/>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mc:AlternateContent>
          <mc:Choice Requires="wps">
            <w:drawing>
              <wp:anchor distT="0" distB="0" distL="114300" distR="114300" simplePos="0" relativeHeight="251659264" behindDoc="0" locked="0" layoutInCell="1" allowOverlap="1">
                <wp:simplePos x="0" y="0"/>
                <wp:positionH relativeFrom="column">
                  <wp:posOffset>1087755</wp:posOffset>
                </wp:positionH>
                <wp:positionV relativeFrom="paragraph">
                  <wp:posOffset>193040</wp:posOffset>
                </wp:positionV>
                <wp:extent cx="3467100" cy="179070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346710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wps:txbx>
                      <wps:bodyPr upright="1"/>
                    </wps:wsp>
                  </a:graphicData>
                </a:graphic>
              </wp:anchor>
            </w:drawing>
          </mc:Choice>
          <mc:Fallback>
            <w:pict>
              <v:shape id="_x0000_s1026" o:spid="_x0000_s1026" o:spt="202" type="#_x0000_t202" style="position:absolute;left:0pt;margin-left:85.65pt;margin-top:15.2pt;height:141pt;width:273pt;z-index:251659264;mso-width-relative:page;mso-height-relative:page;" fillcolor="#FFFFFF" filled="t" stroked="t" coordsize="21600,21600" o:gfxdata="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Ebo9gAAAAKAQAADwAAAAAAAAAB&#10;ACAAAAAiAAAAZHJzL2Rvd25yZXYueG1sUEsBAhQAFAAAAAgAh07iQMc0SnsQAgAARQQAAA4AAAAA&#10;AAAAAQAgAAAAJwEAAGRycy9lMm9Eb2MueG1sUEsFBgAAAAAGAAYAWQEAAKkFAAAAAA==&#10;">
                <v:fill on="t" focussize="0,0"/>
                <v:stroke color="#000000" joinstyle="miter"/>
                <v:imagedata o:title=""/>
                <o:lock v:ext="edit" aspectratio="f"/>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mc:Fallback>
        </mc:AlternateConten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79BD"/>
    <w:multiLevelType w:val="singleLevel"/>
    <w:tmpl w:val="E8F879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07994094"/>
    <w:rsid w:val="08C5730C"/>
    <w:rsid w:val="19822BEE"/>
    <w:rsid w:val="29A34A5A"/>
    <w:rsid w:val="3C6B5849"/>
    <w:rsid w:val="43E667C6"/>
    <w:rsid w:val="4E76663A"/>
    <w:rsid w:val="4EBA4DB6"/>
    <w:rsid w:val="55A51EE8"/>
    <w:rsid w:val="6DFE1E82"/>
    <w:rsid w:val="75B52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F4B67-9C76-4C9B-9577-5AB004B0063E}">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810</Characters>
  <Lines>6</Lines>
  <Paragraphs>1</Paragraphs>
  <TotalTime>12</TotalTime>
  <ScaleCrop>false</ScaleCrop>
  <LinksUpToDate>false</LinksUpToDate>
  <CharactersWithSpaces>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2021-07-09T08:33:25Z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6D3C47A9618B4ADCB5760DFC1A3B6220</vt:lpwstr>
  </property>
</Properties>
</file>